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华文中宋" w:eastAsia="华文中宋" w:cs="Times New Roman"/>
          <w:sz w:val="36"/>
          <w:szCs w:val="36"/>
          <w:lang w:eastAsia="zh-CN"/>
        </w:rPr>
      </w:pPr>
    </w:p>
    <w:p>
      <w:pPr>
        <w:jc w:val="center"/>
        <w:rPr>
          <w:rFonts w:hint="eastAsia" w:ascii="Times New Roman" w:hAnsi="华文中宋" w:eastAsia="华文中宋" w:cs="Times New Roman"/>
          <w:sz w:val="36"/>
          <w:szCs w:val="36"/>
        </w:rPr>
      </w:pPr>
      <w:r>
        <w:rPr>
          <w:rFonts w:hint="eastAsia" w:ascii="Times New Roman" w:hAnsi="华文中宋" w:eastAsia="华文中宋" w:cs="Times New Roman"/>
          <w:sz w:val="36"/>
          <w:szCs w:val="36"/>
          <w:lang w:eastAsia="zh-CN"/>
        </w:rPr>
        <w:t>确</w:t>
      </w:r>
      <w:r>
        <w:rPr>
          <w:rFonts w:hint="eastAsia" w:ascii="Times New Roman" w:hAnsi="华文中宋" w:eastAsia="华文中宋" w:cs="Times New Roman"/>
          <w:sz w:val="36"/>
          <w:szCs w:val="36"/>
        </w:rPr>
        <w:t>需保留</w:t>
      </w:r>
      <w:r>
        <w:rPr>
          <w:rFonts w:ascii="Times New Roman" w:hAnsi="华文中宋" w:eastAsia="华文中宋" w:cs="Times New Roman"/>
          <w:sz w:val="36"/>
          <w:szCs w:val="36"/>
        </w:rPr>
        <w:t>证明事项</w:t>
      </w:r>
      <w:r>
        <w:rPr>
          <w:rFonts w:hint="eastAsia" w:ascii="Times New Roman" w:hAnsi="华文中宋" w:eastAsia="华文中宋" w:cs="Times New Roman"/>
          <w:sz w:val="36"/>
          <w:szCs w:val="36"/>
        </w:rPr>
        <w:t>清单</w:t>
      </w:r>
    </w:p>
    <w:p>
      <w:pPr>
        <w:jc w:val="center"/>
        <w:rPr>
          <w:rFonts w:hint="eastAsia" w:ascii="Times New Roman" w:hAnsi="华文中宋" w:eastAsia="华文中宋" w:cs="Times New Roman"/>
          <w:sz w:val="36"/>
          <w:szCs w:val="36"/>
        </w:rPr>
      </w:pPr>
    </w:p>
    <w:p>
      <w:pPr>
        <w:rPr>
          <w:rFonts w:ascii="Times New Roman" w:hAnsi="Times New Roman" w:eastAsia="仿宋" w:cs="Times New Roman"/>
          <w:sz w:val="28"/>
          <w:szCs w:val="28"/>
        </w:rPr>
      </w:pPr>
      <w:r>
        <w:rPr>
          <w:rFonts w:hint="eastAsia" w:ascii="Times New Roman" w:hAnsi="Times New Roman" w:eastAsia="仿宋" w:cs="Times New Roman"/>
          <w:sz w:val="28"/>
          <w:szCs w:val="28"/>
        </w:rPr>
        <w:t>单位：</w:t>
      </w:r>
      <w:r>
        <w:rPr>
          <w:rFonts w:hint="eastAsia" w:ascii="Times New Roman" w:hAnsi="Times New Roman" w:eastAsia="仿宋" w:cs="Times New Roman"/>
          <w:sz w:val="28"/>
          <w:szCs w:val="28"/>
          <w:lang w:eastAsia="zh-CN"/>
        </w:rPr>
        <w:t>武汉住房公积金管理中心</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28"/>
          <w:szCs w:val="28"/>
        </w:rPr>
        <w:t>（盖章）</w:t>
      </w:r>
    </w:p>
    <w:tbl>
      <w:tblPr>
        <w:tblStyle w:val="3"/>
        <w:tblW w:w="14176"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276"/>
        <w:gridCol w:w="1276"/>
        <w:gridCol w:w="1276"/>
        <w:gridCol w:w="1275"/>
        <w:gridCol w:w="1418"/>
        <w:gridCol w:w="1559"/>
        <w:gridCol w:w="1418"/>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0" w:hRule="atLeast"/>
        </w:trPr>
        <w:tc>
          <w:tcPr>
            <w:tcW w:w="709" w:type="dxa"/>
            <w:vMerge w:val="restart"/>
            <w:vAlign w:val="center"/>
          </w:tcPr>
          <w:p>
            <w:pPr>
              <w:jc w:val="center"/>
              <w:rPr>
                <w:rFonts w:ascii="黑体" w:hAnsi="黑体" w:eastAsia="黑体" w:cs="Times New Roman"/>
                <w:sz w:val="24"/>
                <w:szCs w:val="24"/>
              </w:rPr>
            </w:pPr>
            <w:r>
              <w:rPr>
                <w:rFonts w:hint="eastAsia" w:ascii="黑体" w:hAnsi="黑体" w:eastAsia="黑体" w:cs="Times New Roman"/>
                <w:sz w:val="24"/>
                <w:szCs w:val="24"/>
              </w:rPr>
              <w:t>序号</w:t>
            </w:r>
          </w:p>
        </w:tc>
        <w:tc>
          <w:tcPr>
            <w:tcW w:w="1276" w:type="dxa"/>
            <w:vMerge w:val="restart"/>
            <w:vAlign w:val="center"/>
          </w:tcPr>
          <w:p>
            <w:pPr>
              <w:spacing w:line="400" w:lineRule="exact"/>
              <w:jc w:val="center"/>
              <w:rPr>
                <w:rFonts w:ascii="黑体" w:hAnsi="黑体" w:eastAsia="黑体" w:cs="Times New Roman"/>
                <w:sz w:val="24"/>
                <w:szCs w:val="24"/>
              </w:rPr>
            </w:pPr>
            <w:r>
              <w:rPr>
                <w:rFonts w:hint="eastAsia" w:ascii="黑体" w:hAnsi="黑体" w:eastAsia="黑体" w:cs="Times New Roman"/>
                <w:sz w:val="24"/>
                <w:szCs w:val="24"/>
              </w:rPr>
              <w:t>证明事项</w:t>
            </w:r>
          </w:p>
          <w:p>
            <w:pPr>
              <w:spacing w:line="400" w:lineRule="exact"/>
              <w:jc w:val="center"/>
              <w:rPr>
                <w:rFonts w:ascii="黑体" w:hAnsi="黑体" w:eastAsia="黑体" w:cs="Times New Roman"/>
                <w:sz w:val="24"/>
                <w:szCs w:val="24"/>
              </w:rPr>
            </w:pPr>
            <w:r>
              <w:rPr>
                <w:rFonts w:hint="eastAsia" w:ascii="黑体" w:hAnsi="黑体" w:eastAsia="黑体" w:cs="Times New Roman"/>
                <w:sz w:val="24"/>
                <w:szCs w:val="24"/>
              </w:rPr>
              <w:t>名称</w:t>
            </w:r>
          </w:p>
        </w:tc>
        <w:tc>
          <w:tcPr>
            <w:tcW w:w="1276" w:type="dxa"/>
            <w:vMerge w:val="restart"/>
            <w:vAlign w:val="center"/>
          </w:tcPr>
          <w:p>
            <w:pPr>
              <w:spacing w:line="400" w:lineRule="exact"/>
              <w:jc w:val="center"/>
              <w:rPr>
                <w:rFonts w:ascii="黑体" w:hAnsi="黑体" w:eastAsia="黑体" w:cs="Times New Roman"/>
                <w:sz w:val="24"/>
                <w:szCs w:val="24"/>
              </w:rPr>
            </w:pPr>
            <w:r>
              <w:rPr>
                <w:rFonts w:hint="eastAsia" w:ascii="黑体" w:hAnsi="黑体" w:eastAsia="黑体" w:cs="Times New Roman"/>
                <w:sz w:val="24"/>
                <w:szCs w:val="24"/>
              </w:rPr>
              <w:t>对应办理</w:t>
            </w:r>
          </w:p>
          <w:p>
            <w:pPr>
              <w:spacing w:line="400" w:lineRule="exact"/>
              <w:jc w:val="center"/>
              <w:rPr>
                <w:rFonts w:ascii="黑体" w:hAnsi="黑体" w:eastAsia="黑体" w:cs="Times New Roman"/>
                <w:sz w:val="24"/>
                <w:szCs w:val="24"/>
              </w:rPr>
            </w:pPr>
            <w:r>
              <w:rPr>
                <w:rFonts w:hint="eastAsia" w:ascii="黑体" w:hAnsi="黑体" w:eastAsia="黑体" w:cs="Times New Roman"/>
                <w:sz w:val="24"/>
                <w:szCs w:val="24"/>
              </w:rPr>
              <w:t>事项名称</w:t>
            </w:r>
          </w:p>
        </w:tc>
        <w:tc>
          <w:tcPr>
            <w:tcW w:w="1276" w:type="dxa"/>
            <w:vMerge w:val="restart"/>
            <w:vAlign w:val="center"/>
          </w:tcPr>
          <w:p>
            <w:pPr>
              <w:spacing w:line="400" w:lineRule="exact"/>
              <w:jc w:val="center"/>
              <w:rPr>
                <w:rFonts w:ascii="黑体" w:hAnsi="黑体" w:eastAsia="黑体" w:cs="Times New Roman"/>
                <w:sz w:val="24"/>
                <w:szCs w:val="24"/>
              </w:rPr>
            </w:pPr>
            <w:r>
              <w:rPr>
                <w:rFonts w:hint="eastAsia" w:ascii="黑体" w:hAnsi="黑体" w:eastAsia="黑体" w:cs="Times New Roman"/>
                <w:sz w:val="24"/>
                <w:szCs w:val="24"/>
              </w:rPr>
              <w:t>设定依据</w:t>
            </w:r>
          </w:p>
        </w:tc>
        <w:tc>
          <w:tcPr>
            <w:tcW w:w="1275" w:type="dxa"/>
            <w:vMerge w:val="restart"/>
            <w:vAlign w:val="center"/>
          </w:tcPr>
          <w:p>
            <w:pPr>
              <w:spacing w:line="400" w:lineRule="exact"/>
              <w:jc w:val="center"/>
              <w:rPr>
                <w:rFonts w:ascii="黑体" w:hAnsi="黑体" w:eastAsia="黑体" w:cs="Times New Roman"/>
                <w:sz w:val="24"/>
                <w:szCs w:val="24"/>
              </w:rPr>
            </w:pPr>
            <w:r>
              <w:rPr>
                <w:rFonts w:hint="eastAsia" w:ascii="黑体" w:hAnsi="黑体" w:eastAsia="黑体" w:cs="Times New Roman"/>
                <w:sz w:val="24"/>
                <w:szCs w:val="24"/>
              </w:rPr>
              <w:t>保留理由</w:t>
            </w:r>
          </w:p>
        </w:tc>
        <w:tc>
          <w:tcPr>
            <w:tcW w:w="8364" w:type="dxa"/>
            <w:gridSpan w:val="4"/>
            <w:tcBorders>
              <w:bottom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实施基本情况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5" w:hRule="atLeast"/>
        </w:trPr>
        <w:tc>
          <w:tcPr>
            <w:tcW w:w="709" w:type="dxa"/>
            <w:vMerge w:val="continue"/>
          </w:tcPr>
          <w:p>
            <w:pPr>
              <w:jc w:val="center"/>
              <w:rPr>
                <w:rFonts w:ascii="黑体" w:hAnsi="黑体" w:eastAsia="黑体" w:cs="Times New Roman"/>
                <w:sz w:val="28"/>
                <w:szCs w:val="28"/>
              </w:rPr>
            </w:pPr>
          </w:p>
        </w:tc>
        <w:tc>
          <w:tcPr>
            <w:tcW w:w="1276" w:type="dxa"/>
            <w:vMerge w:val="continue"/>
          </w:tcPr>
          <w:p>
            <w:pPr>
              <w:jc w:val="center"/>
              <w:rPr>
                <w:rFonts w:ascii="黑体" w:hAnsi="黑体" w:eastAsia="黑体" w:cs="Times New Roman"/>
                <w:sz w:val="28"/>
                <w:szCs w:val="28"/>
              </w:rPr>
            </w:pPr>
          </w:p>
        </w:tc>
        <w:tc>
          <w:tcPr>
            <w:tcW w:w="1276" w:type="dxa"/>
            <w:vMerge w:val="continue"/>
          </w:tcPr>
          <w:p>
            <w:pPr>
              <w:jc w:val="center"/>
              <w:rPr>
                <w:rFonts w:ascii="黑体" w:hAnsi="黑体" w:eastAsia="黑体" w:cs="Times New Roman"/>
                <w:sz w:val="28"/>
                <w:szCs w:val="28"/>
              </w:rPr>
            </w:pPr>
          </w:p>
        </w:tc>
        <w:tc>
          <w:tcPr>
            <w:tcW w:w="1276" w:type="dxa"/>
            <w:vMerge w:val="continue"/>
            <w:vAlign w:val="center"/>
          </w:tcPr>
          <w:p>
            <w:pPr>
              <w:jc w:val="center"/>
              <w:rPr>
                <w:rFonts w:ascii="黑体" w:hAnsi="黑体" w:eastAsia="黑体" w:cs="Times New Roman"/>
                <w:sz w:val="28"/>
                <w:szCs w:val="28"/>
              </w:rPr>
            </w:pPr>
          </w:p>
        </w:tc>
        <w:tc>
          <w:tcPr>
            <w:tcW w:w="1275" w:type="dxa"/>
            <w:vMerge w:val="continue"/>
          </w:tcPr>
          <w:p>
            <w:pPr>
              <w:jc w:val="center"/>
              <w:rPr>
                <w:rFonts w:ascii="黑体" w:hAnsi="黑体" w:eastAsia="黑体" w:cs="Times New Roman"/>
                <w:sz w:val="28"/>
                <w:szCs w:val="28"/>
              </w:rPr>
            </w:pPr>
          </w:p>
        </w:tc>
        <w:tc>
          <w:tcPr>
            <w:tcW w:w="1418" w:type="dxa"/>
            <w:tcBorders>
              <w:top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年受理量</w:t>
            </w:r>
          </w:p>
        </w:tc>
        <w:tc>
          <w:tcPr>
            <w:tcW w:w="1559" w:type="dxa"/>
            <w:tcBorders>
              <w:top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索要单位</w:t>
            </w:r>
          </w:p>
        </w:tc>
        <w:tc>
          <w:tcPr>
            <w:tcW w:w="1418" w:type="dxa"/>
            <w:tcBorders>
              <w:top w:val="single" w:color="auto" w:sz="4" w:space="0"/>
            </w:tcBorders>
            <w:vAlign w:val="center"/>
          </w:tcPr>
          <w:p>
            <w:pPr>
              <w:jc w:val="center"/>
              <w:rPr>
                <w:rFonts w:ascii="黑体" w:hAnsi="黑体" w:eastAsia="黑体" w:cs="Times New Roman"/>
                <w:sz w:val="24"/>
                <w:szCs w:val="24"/>
              </w:rPr>
            </w:pPr>
            <w:r>
              <w:rPr>
                <w:rFonts w:hint="eastAsia" w:ascii="黑体" w:hAnsi="黑体" w:eastAsia="黑体" w:cs="Times New Roman"/>
                <w:sz w:val="24"/>
                <w:szCs w:val="24"/>
              </w:rPr>
              <w:t>开具单位</w:t>
            </w:r>
          </w:p>
        </w:tc>
        <w:tc>
          <w:tcPr>
            <w:tcW w:w="3969" w:type="dxa"/>
            <w:tcBorders>
              <w:top w:val="single" w:color="auto" w:sz="4" w:space="0"/>
            </w:tcBorders>
            <w:vAlign w:val="center"/>
          </w:tcPr>
          <w:p>
            <w:pPr>
              <w:jc w:val="center"/>
              <w:rPr>
                <w:rFonts w:ascii="黑体" w:hAnsi="黑体" w:eastAsia="黑体" w:cs="Times New Roman"/>
                <w:sz w:val="28"/>
                <w:szCs w:val="28"/>
              </w:rPr>
            </w:pPr>
            <w:r>
              <w:rPr>
                <w:rFonts w:hint="eastAsia" w:ascii="黑体" w:hAnsi="黑体" w:eastAsia="黑体" w:cs="Times New Roman"/>
                <w:sz w:val="24"/>
                <w:szCs w:val="24"/>
              </w:rPr>
              <w:t>办事指南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4844" w:hRule="exact"/>
        </w:trPr>
        <w:tc>
          <w:tcPr>
            <w:tcW w:w="709" w:type="dxa"/>
            <w:vAlign w:val="center"/>
          </w:tcPr>
          <w:p>
            <w:pPr>
              <w:keepNext w:val="0"/>
              <w:keepLines w:val="0"/>
              <w:widowControl/>
              <w:suppressLineNumbers w:val="0"/>
              <w:jc w:val="right"/>
              <w:textAlignment w:val="center"/>
              <w:rPr>
                <w:rFonts w:hint="eastAsia" w:ascii="Times New Roman" w:hAnsi="Times New Roman" w:eastAsia="仿宋" w:cs="Times New Roman"/>
                <w:sz w:val="32"/>
                <w:szCs w:val="32"/>
                <w:lang w:val="en-US" w:eastAsia="zh-CN"/>
              </w:rPr>
            </w:pPr>
            <w:r>
              <w:rPr>
                <w:rFonts w:hint="eastAsia" w:ascii="宋体" w:hAnsi="宋体" w:eastAsia="宋体" w:cs="宋体"/>
                <w:i w:val="0"/>
                <w:color w:val="000000"/>
                <w:kern w:val="0"/>
                <w:sz w:val="28"/>
                <w:szCs w:val="28"/>
                <w:u w:val="none"/>
                <w:lang w:val="en-US" w:eastAsia="zh-CN" w:bidi="ar"/>
              </w:rPr>
              <w:t>1</w:t>
            </w:r>
          </w:p>
        </w:tc>
        <w:tc>
          <w:tcPr>
            <w:tcW w:w="1276" w:type="dxa"/>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离职证明</w:t>
            </w:r>
          </w:p>
        </w:tc>
        <w:tc>
          <w:tcPr>
            <w:tcW w:w="1276" w:type="dxa"/>
            <w:vAlign w:val="center"/>
          </w:tcPr>
          <w:p>
            <w:pPr>
              <w:keepNext w:val="0"/>
              <w:keepLines w:val="0"/>
              <w:widowControl/>
              <w:suppressLineNumbers w:val="0"/>
              <w:jc w:val="center"/>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单位不按照规定为职工办理住房公积金变更登记，账户转移、封存、启封或者提取等手续</w:t>
            </w:r>
          </w:p>
        </w:tc>
        <w:tc>
          <w:tcPr>
            <w:tcW w:w="1276" w:type="dxa"/>
            <w:vAlign w:val="center"/>
          </w:tcPr>
          <w:p>
            <w:pPr>
              <w:keepNext w:val="0"/>
              <w:keepLines w:val="0"/>
              <w:widowControl/>
              <w:suppressLineNumbers w:val="0"/>
              <w:jc w:val="left"/>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13"/>
                <w:szCs w:val="13"/>
                <w:u w:val="none"/>
                <w:lang w:val="en-US" w:eastAsia="zh-CN" w:bidi="ar"/>
              </w:rPr>
              <w:t>《武汉住房公积金管理条例》第二十八条　单位不按照规定为职工办理住房公积金变更登记，账户转移、封存、启封或者提取等手续，职工可以凭有效证明材料向公积金管理中心申请督促办理，单位在二十日内仍不办理的，公积金管理中心应当在二十日内直接予以办理。</w:t>
            </w:r>
          </w:p>
        </w:tc>
        <w:tc>
          <w:tcPr>
            <w:tcW w:w="1275" w:type="dxa"/>
          </w:tcPr>
          <w:p>
            <w:pPr>
              <w:rPr>
                <w:rFonts w:ascii="Times New Roman" w:hAnsi="Times New Roman" w:eastAsia="仿宋" w:cs="Times New Roman"/>
                <w:sz w:val="32"/>
                <w:szCs w:val="32"/>
              </w:rPr>
            </w:pPr>
            <w:r>
              <w:rPr>
                <w:rFonts w:hint="eastAsia" w:ascii="仿宋" w:hAnsi="仿宋" w:eastAsia="仿宋" w:cs="宋体"/>
                <w:kern w:val="0"/>
                <w:szCs w:val="32"/>
                <w:lang w:eastAsia="zh-CN"/>
              </w:rPr>
              <w:t>无法通过网上核验职工是否从原单位离职</w:t>
            </w:r>
          </w:p>
        </w:tc>
        <w:tc>
          <w:tcPr>
            <w:tcW w:w="1418" w:type="dxa"/>
          </w:tcPr>
          <w:p>
            <w:pP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90000余笔</w:t>
            </w:r>
          </w:p>
        </w:tc>
        <w:tc>
          <w:tcPr>
            <w:tcW w:w="1559" w:type="dxa"/>
            <w:vAlign w:val="center"/>
          </w:tcPr>
          <w:p>
            <w:pPr>
              <w:keepNext w:val="0"/>
              <w:keepLines w:val="0"/>
              <w:widowControl/>
              <w:suppressLineNumbers w:val="0"/>
              <w:jc w:val="left"/>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武汉住房公积金管理中心</w:t>
            </w:r>
          </w:p>
        </w:tc>
        <w:tc>
          <w:tcPr>
            <w:tcW w:w="1418" w:type="dxa"/>
            <w:vAlign w:val="center"/>
          </w:tcPr>
          <w:p>
            <w:pPr>
              <w:keepNext w:val="0"/>
              <w:keepLines w:val="0"/>
              <w:widowControl/>
              <w:suppressLineNumbers w:val="0"/>
              <w:jc w:val="left"/>
              <w:textAlignment w:val="center"/>
              <w:rPr>
                <w:rFonts w:hint="default" w:ascii="Times New Roman" w:hAnsi="Times New Roman" w:eastAsia="仿宋" w:cs="Times New Roman"/>
                <w:sz w:val="32"/>
                <w:szCs w:val="32"/>
                <w:lang w:val="en-US"/>
              </w:rPr>
            </w:pPr>
            <w:r>
              <w:rPr>
                <w:rFonts w:hint="eastAsia" w:ascii="宋体" w:hAnsi="宋体" w:eastAsia="宋体" w:cs="宋体"/>
                <w:i w:val="0"/>
                <w:color w:val="000000"/>
                <w:kern w:val="0"/>
                <w:sz w:val="20"/>
                <w:szCs w:val="20"/>
                <w:u w:val="none"/>
                <w:lang w:val="en-US" w:eastAsia="zh-CN" w:bidi="ar"/>
              </w:rPr>
              <w:t>职工所在单位</w:t>
            </w:r>
          </w:p>
        </w:tc>
        <w:tc>
          <w:tcPr>
            <w:tcW w:w="3969" w:type="dxa"/>
          </w:tcPr>
          <w:p>
            <w:pP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封存：单位携职工与单位终止（解除）劳动关系的证明或者离岗证明到受委托银行办理个人账户封存手续。</w:t>
            </w:r>
          </w:p>
          <w:p>
            <w:pPr>
              <w:rPr>
                <w:rFonts w:hint="eastAsia" w:ascii="Times New Roman" w:hAnsi="Times New Roman" w:eastAsia="仿宋" w:cs="Times New Roman"/>
                <w:sz w:val="32"/>
                <w:szCs w:val="32"/>
                <w:lang w:eastAsia="zh-CN"/>
              </w:rPr>
            </w:pPr>
            <w:r>
              <w:rPr>
                <w:rFonts w:hint="eastAsia" w:ascii="Times New Roman" w:hAnsi="Times New Roman" w:eastAsia="仿宋" w:cs="Times New Roman"/>
                <w:sz w:val="24"/>
                <w:szCs w:val="24"/>
                <w:lang w:eastAsia="zh-CN"/>
              </w:rPr>
              <w:t>提取：与单位终止劳动关系、户口迁出本市或户口不在本市，且住房公积金账户封存满半年的；与单位终止劳动关系,且男性年满50周岁、女性年满45周岁的；与单位终止劳动关系，且个人账户余额在1000元及以下的；与单位终止劳动关系，且考取全日制大学辞职读书的；职工个人账户封存满两年仍未重新就业的，携提供与单位终止劳动关系证明前往公积金缴存银行办理提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7779" w:hRule="exact"/>
        </w:trPr>
        <w:tc>
          <w:tcPr>
            <w:tcW w:w="709" w:type="dxa"/>
            <w:vAlign w:val="center"/>
          </w:tcPr>
          <w:p>
            <w:pPr>
              <w:keepNext w:val="0"/>
              <w:keepLines w:val="0"/>
              <w:widowControl/>
              <w:suppressLineNumbers w:val="0"/>
              <w:jc w:val="right"/>
              <w:textAlignment w:val="center"/>
              <w:rPr>
                <w:rFonts w:hint="default" w:ascii="Times New Roman" w:hAnsi="Times New Roman" w:eastAsia="仿宋" w:cs="Times New Roman"/>
                <w:sz w:val="32"/>
                <w:szCs w:val="32"/>
                <w:lang w:val="en-US"/>
              </w:rPr>
            </w:pPr>
            <w:r>
              <w:rPr>
                <w:rFonts w:hint="eastAsia" w:ascii="宋体" w:hAnsi="宋体" w:eastAsia="宋体" w:cs="宋体"/>
                <w:i w:val="0"/>
                <w:color w:val="000000"/>
                <w:kern w:val="0"/>
                <w:sz w:val="28"/>
                <w:szCs w:val="28"/>
                <w:u w:val="none"/>
                <w:lang w:val="en-US" w:eastAsia="zh-CN" w:bidi="ar"/>
              </w:rPr>
              <w:t>2</w:t>
            </w:r>
          </w:p>
        </w:tc>
        <w:tc>
          <w:tcPr>
            <w:tcW w:w="1276" w:type="dxa"/>
          </w:tcPr>
          <w:p>
            <w:pPr>
              <w:rPr>
                <w:rFonts w:hint="eastAsia" w:asciiTheme="majorEastAsia" w:hAnsiTheme="majorEastAsia" w:eastAsiaTheme="majorEastAsia" w:cstheme="majorEastAsia"/>
                <w:sz w:val="20"/>
                <w:szCs w:val="20"/>
                <w:lang w:eastAsia="zh-CN"/>
              </w:rPr>
            </w:pPr>
          </w:p>
          <w:p>
            <w:pPr>
              <w:rPr>
                <w:rFonts w:hint="eastAsia" w:asciiTheme="majorEastAsia" w:hAnsiTheme="majorEastAsia" w:eastAsiaTheme="majorEastAsia" w:cstheme="majorEastAsia"/>
                <w:sz w:val="20"/>
                <w:szCs w:val="20"/>
                <w:lang w:eastAsia="zh-CN"/>
              </w:rPr>
            </w:pPr>
          </w:p>
          <w:p>
            <w:pPr>
              <w:rPr>
                <w:rFonts w:hint="eastAsia" w:asciiTheme="majorEastAsia" w:hAnsiTheme="majorEastAsia" w:eastAsiaTheme="majorEastAsia" w:cstheme="majorEastAsia"/>
                <w:sz w:val="20"/>
                <w:szCs w:val="20"/>
                <w:lang w:eastAsia="zh-CN"/>
              </w:rPr>
            </w:pPr>
          </w:p>
          <w:p>
            <w:pPr>
              <w:rPr>
                <w:rFonts w:hint="eastAsia" w:asciiTheme="majorEastAsia" w:hAnsiTheme="majorEastAsia" w:eastAsiaTheme="majorEastAsia" w:cstheme="majorEastAsia"/>
                <w:sz w:val="20"/>
                <w:szCs w:val="20"/>
                <w:lang w:eastAsia="zh-CN"/>
              </w:rPr>
            </w:pPr>
          </w:p>
          <w:p>
            <w:pPr>
              <w:rPr>
                <w:rFonts w:hint="eastAsia" w:asciiTheme="majorEastAsia" w:hAnsiTheme="majorEastAsia" w:eastAsiaTheme="majorEastAsia" w:cstheme="majorEastAsia"/>
                <w:sz w:val="20"/>
                <w:szCs w:val="20"/>
                <w:lang w:eastAsia="zh-CN"/>
              </w:rPr>
            </w:pPr>
          </w:p>
          <w:p>
            <w:pPr>
              <w:rPr>
                <w:rFonts w:hint="eastAsia" w:asciiTheme="majorEastAsia" w:hAnsiTheme="majorEastAsia" w:eastAsiaTheme="majorEastAsia" w:cstheme="majorEastAsia"/>
                <w:sz w:val="20"/>
                <w:szCs w:val="20"/>
                <w:lang w:eastAsia="zh-CN"/>
              </w:rPr>
            </w:pPr>
          </w:p>
          <w:p>
            <w:pPr>
              <w:rPr>
                <w:rFonts w:hint="eastAsia" w:asciiTheme="majorEastAsia" w:hAnsiTheme="majorEastAsia" w:eastAsiaTheme="majorEastAsia" w:cstheme="majorEastAsia"/>
                <w:sz w:val="20"/>
                <w:szCs w:val="20"/>
                <w:lang w:eastAsia="zh-CN"/>
              </w:rPr>
            </w:pPr>
          </w:p>
          <w:p>
            <w:pPr>
              <w:rPr>
                <w:rFonts w:hint="eastAsia" w:ascii="Times New Roman" w:hAnsi="Times New Roman" w:eastAsia="仿宋" w:cs="Times New Roman"/>
                <w:sz w:val="32"/>
                <w:szCs w:val="32"/>
                <w:lang w:eastAsia="zh-CN"/>
              </w:rPr>
            </w:pPr>
            <w:r>
              <w:rPr>
                <w:rFonts w:hint="eastAsia" w:asciiTheme="majorEastAsia" w:hAnsiTheme="majorEastAsia" w:eastAsiaTheme="majorEastAsia" w:cstheme="majorEastAsia"/>
                <w:sz w:val="20"/>
                <w:szCs w:val="20"/>
                <w:lang w:eastAsia="zh-CN"/>
              </w:rPr>
              <w:t>符合贷款条件的证明材料（购房首付款收据及婚姻证明材料）</w:t>
            </w:r>
          </w:p>
        </w:tc>
        <w:tc>
          <w:tcPr>
            <w:tcW w:w="1276" w:type="dxa"/>
            <w:vAlign w:val="center"/>
          </w:tcPr>
          <w:p>
            <w:pPr>
              <w:keepNext w:val="0"/>
              <w:keepLines w:val="0"/>
              <w:widowControl/>
              <w:suppressLineNumbers w:val="0"/>
              <w:jc w:val="left"/>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贷款审批</w:t>
            </w:r>
          </w:p>
        </w:tc>
        <w:tc>
          <w:tcPr>
            <w:tcW w:w="1276" w:type="dxa"/>
            <w:vAlign w:val="center"/>
          </w:tcPr>
          <w:p>
            <w:pPr>
              <w:keepNext w:val="0"/>
              <w:keepLines w:val="0"/>
              <w:widowControl/>
              <w:suppressLineNumbers w:val="0"/>
              <w:jc w:val="left"/>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《武汉住房公积金管理条例》第十八条：申请住房公积金贷款的职工，应当持本人身份证、户口、购房合同以及符合贷款条件的证明材料，向公积金管理中心提出申请。</w:t>
            </w:r>
          </w:p>
        </w:tc>
        <w:tc>
          <w:tcPr>
            <w:tcW w:w="1275" w:type="dxa"/>
          </w:tcPr>
          <w:p>
            <w:pPr>
              <w:rPr>
                <w:rFonts w:hint="eastAsia" w:ascii="Times New Roman" w:hAnsi="Times New Roman" w:eastAsia="仿宋" w:cs="Times New Roman"/>
                <w:sz w:val="32"/>
                <w:szCs w:val="32"/>
                <w:lang w:eastAsia="zh-CN"/>
              </w:rPr>
            </w:pPr>
            <w:r>
              <w:rPr>
                <w:rFonts w:hint="eastAsia" w:ascii="Times New Roman" w:hAnsi="Times New Roman" w:eastAsia="仿宋" w:cs="Times New Roman"/>
                <w:sz w:val="21"/>
                <w:szCs w:val="21"/>
                <w:lang w:eastAsia="zh-CN"/>
              </w:rPr>
              <w:t>申请住房公积金贷款必须提供购房首付款收据及婚姻证明材料，为了证明购房行为的真实性须提供购房发票；</w:t>
            </w:r>
            <w:r>
              <w:rPr>
                <w:rFonts w:hint="eastAsia" w:ascii="仿宋" w:hAnsi="仿宋" w:eastAsia="仿宋" w:cs="仿宋"/>
                <w:sz w:val="21"/>
                <w:szCs w:val="21"/>
                <w:lang w:val="en-US" w:eastAsia="zh-CN"/>
              </w:rPr>
              <w:t>省际间乃至全国范围的婚姻信息并未实现联网，且法院判决离婚、丧偶等未经民政部门登记的情形，无法通过民政部门核验所以须提供婚姻证明材料</w:t>
            </w:r>
          </w:p>
        </w:tc>
        <w:tc>
          <w:tcPr>
            <w:tcW w:w="1418" w:type="dxa"/>
          </w:tcPr>
          <w:p>
            <w:pP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20000余笔</w:t>
            </w:r>
          </w:p>
        </w:tc>
        <w:tc>
          <w:tcPr>
            <w:tcW w:w="1559" w:type="dxa"/>
            <w:vAlign w:val="center"/>
          </w:tcPr>
          <w:p>
            <w:pPr>
              <w:keepNext w:val="0"/>
              <w:keepLines w:val="0"/>
              <w:widowControl/>
              <w:suppressLineNumbers w:val="0"/>
              <w:jc w:val="left"/>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住房公积金管理中心</w:t>
            </w:r>
          </w:p>
        </w:tc>
        <w:tc>
          <w:tcPr>
            <w:tcW w:w="1418" w:type="dxa"/>
            <w:vAlign w:val="center"/>
          </w:tcPr>
          <w:p>
            <w:pPr>
              <w:keepNext w:val="0"/>
              <w:keepLines w:val="0"/>
              <w:widowControl/>
              <w:suppressLineNumbers w:val="0"/>
              <w:jc w:val="left"/>
              <w:textAlignment w:val="center"/>
              <w:rPr>
                <w:rFonts w:ascii="Times New Roman" w:hAnsi="Times New Roman" w:eastAsia="仿宋" w:cs="Times New Roman"/>
                <w:sz w:val="32"/>
                <w:szCs w:val="32"/>
              </w:rPr>
            </w:pPr>
            <w:r>
              <w:rPr>
                <w:rFonts w:hint="eastAsia" w:ascii="宋体" w:hAnsi="宋体" w:eastAsia="宋体" w:cs="宋体"/>
                <w:i w:val="0"/>
                <w:color w:val="000000"/>
                <w:kern w:val="0"/>
                <w:sz w:val="20"/>
                <w:szCs w:val="20"/>
                <w:u w:val="none"/>
                <w:lang w:val="en-US" w:eastAsia="zh-CN" w:bidi="ar"/>
              </w:rPr>
              <w:t>申请贷款职工</w:t>
            </w:r>
          </w:p>
        </w:tc>
        <w:tc>
          <w:tcPr>
            <w:tcW w:w="3969" w:type="dxa"/>
          </w:tcPr>
          <w:p>
            <w:pPr>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办理公积金贷款的缴存职工携购房首付款收据及婚姻证明材料前往公积金贷款委托银行办理贷款。</w:t>
            </w:r>
          </w:p>
        </w:tc>
      </w:tr>
    </w:tbl>
    <w:p>
      <w:pPr>
        <w:spacing w:line="400" w:lineRule="exact"/>
      </w:pPr>
      <w:r>
        <w:rPr>
          <w:rFonts w:hint="eastAsia" w:ascii="Times New Roman" w:hAnsi="Times New Roman" w:eastAsia="仿宋" w:cs="Times New Roman"/>
          <w:sz w:val="24"/>
          <w:szCs w:val="24"/>
        </w:rPr>
        <w:t>填报人：</w:t>
      </w:r>
      <w:r>
        <w:rPr>
          <w:rFonts w:hint="eastAsia" w:ascii="Times New Roman" w:hAnsi="Times New Roman" w:eastAsia="仿宋" w:cs="Times New Roman"/>
          <w:sz w:val="24"/>
          <w:szCs w:val="24"/>
          <w:lang w:eastAsia="zh-CN"/>
        </w:rPr>
        <w:t>陈黎黎</w:t>
      </w:r>
      <w:r>
        <w:rPr>
          <w:rFonts w:hint="eastAsia" w:ascii="Times New Roman" w:hAnsi="Times New Roman" w:eastAsia="仿宋" w:cs="Times New Roman"/>
          <w:sz w:val="24"/>
          <w:szCs w:val="24"/>
        </w:rPr>
        <w:t xml:space="preserve">                            填报时间：</w:t>
      </w:r>
      <w:r>
        <w:rPr>
          <w:rFonts w:hint="eastAsia" w:ascii="Times New Roman" w:hAnsi="Times New Roman" w:eastAsia="仿宋" w:cs="Times New Roman"/>
          <w:sz w:val="24"/>
          <w:szCs w:val="24"/>
          <w:lang w:val="en-US" w:eastAsia="zh-CN"/>
        </w:rPr>
        <w:t>2018.</w:t>
      </w:r>
      <w:r>
        <w:rPr>
          <w:rFonts w:hint="eastAsia"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11.14</w:t>
      </w:r>
      <w:r>
        <w:rPr>
          <w:rFonts w:hint="eastAsia" w:ascii="Times New Roman" w:hAnsi="Times New Roman" w:eastAsia="仿宋" w:cs="Times New Roman"/>
          <w:sz w:val="24"/>
          <w:szCs w:val="24"/>
        </w:rPr>
        <w:t xml:space="preserve">                     联系电话：</w:t>
      </w:r>
      <w:r>
        <w:rPr>
          <w:rFonts w:hint="eastAsia" w:ascii="Times New Roman" w:hAnsi="Times New Roman" w:eastAsia="仿宋" w:cs="Times New Roman"/>
          <w:sz w:val="24"/>
          <w:szCs w:val="24"/>
          <w:lang w:val="en-US" w:eastAsia="zh-CN"/>
        </w:rPr>
        <w:t>82797917</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071F5"/>
    <w:rsid w:val="77007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2019-05-17T07:29:00Z</dcterms:created>
  <dc:creator>lenovo</dc:creator>
  <cp:lastModifiedBy>lenovo</cp:lastModifiedBy>
  <cp:lastPrinted>2019-05-17T07:29:23Z</cp:lastPrinted>
  <dcterms:modified xsi:type="dcterms:W3CDTF">2019-05-17T07:31:26Z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