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Layout w:type="fixed"/>
        <w:tblCellMar>
          <w:top w:w="15" w:type="dxa"/>
          <w:left w:w="108" w:type="dxa"/>
          <w:bottom w:w="15" w:type="dxa"/>
          <w:right w:w="108" w:type="dxa"/>
        </w:tblCellMar>
      </w:tblPr>
      <w:tblGrid>
        <w:gridCol w:w="600"/>
        <w:gridCol w:w="2251"/>
        <w:gridCol w:w="3031"/>
        <w:gridCol w:w="10259"/>
        <w:gridCol w:w="930"/>
        <w:gridCol w:w="1065"/>
        <w:gridCol w:w="1200"/>
        <w:gridCol w:w="1155"/>
      </w:tblGrid>
      <w:tr>
        <w:tblPrEx>
          <w:tblCellMar>
            <w:top w:w="15" w:type="dxa"/>
            <w:left w:w="108" w:type="dxa"/>
            <w:bottom w:w="15" w:type="dxa"/>
            <w:right w:w="108" w:type="dxa"/>
          </w:tblCellMar>
        </w:tblPrEx>
        <w:trPr>
          <w:trHeight w:val="795" w:hRule="atLeast"/>
        </w:trPr>
        <w:tc>
          <w:tcPr>
            <w:tcW w:w="20491" w:type="dxa"/>
            <w:gridSpan w:val="8"/>
            <w:noWrap w:val="0"/>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武汉住房公积金管理中心规范性文件设定的证明事项汇总表</w:t>
            </w:r>
          </w:p>
        </w:tc>
      </w:tr>
      <w:tr>
        <w:tblPrEx>
          <w:tblCellMar>
            <w:top w:w="15" w:type="dxa"/>
            <w:left w:w="108" w:type="dxa"/>
            <w:bottom w:w="15" w:type="dxa"/>
            <w:right w:w="108" w:type="dxa"/>
          </w:tblCellMar>
        </w:tblPrEx>
        <w:trPr>
          <w:trHeight w:val="42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2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证明名称</w:t>
            </w:r>
          </w:p>
        </w:tc>
        <w:tc>
          <w:tcPr>
            <w:tcW w:w="30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证明用途</w:t>
            </w:r>
          </w:p>
        </w:tc>
        <w:tc>
          <w:tcPr>
            <w:tcW w:w="102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设定依据</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实施基本情况</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取消后办理方式</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清理意见</w:t>
            </w:r>
          </w:p>
        </w:tc>
      </w:tr>
      <w:tr>
        <w:tblPrEx>
          <w:tblCellMar>
            <w:top w:w="15" w:type="dxa"/>
            <w:left w:w="108" w:type="dxa"/>
            <w:bottom w:w="15" w:type="dxa"/>
            <w:right w:w="108"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0"/>
                <w:szCs w:val="20"/>
              </w:rPr>
            </w:pPr>
          </w:p>
        </w:tc>
        <w:tc>
          <w:tcPr>
            <w:tcW w:w="22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0"/>
                <w:szCs w:val="20"/>
              </w:rPr>
            </w:pPr>
          </w:p>
        </w:tc>
        <w:tc>
          <w:tcPr>
            <w:tcW w:w="30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0"/>
                <w:szCs w:val="20"/>
              </w:rPr>
            </w:pPr>
          </w:p>
        </w:tc>
        <w:tc>
          <w:tcPr>
            <w:tcW w:w="102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依据名称、文号及条文内容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索要单位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开具单位</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0"/>
                <w:szCs w:val="20"/>
              </w:rPr>
            </w:pPr>
          </w:p>
        </w:tc>
      </w:tr>
      <w:tr>
        <w:tblPrEx>
          <w:tblCellMar>
            <w:top w:w="15" w:type="dxa"/>
            <w:left w:w="108" w:type="dxa"/>
            <w:bottom w:w="15" w:type="dxa"/>
            <w:right w:w="108" w:type="dxa"/>
          </w:tblCellMar>
        </w:tblPrEx>
        <w:trPr>
          <w:trHeight w:val="5056"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贷款情况证明或异地贷款职工住房公积金缴存使用证明</w:t>
            </w: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提取住房公积金归还异地公积金贷款</w:t>
            </w:r>
          </w:p>
        </w:tc>
        <w:tc>
          <w:tcPr>
            <w:tcW w:w="102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二十条  职工家庭偿还首套自住住房贷款，按以下情形提供提取业务证明材料原件及复印件：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（一）职工家庭购买首套自住住房，使用个人住房商业性贷款且贷款未结清的，提供借款合同、抵押合同、还款储蓄存折或卡、人行征信报告（人行征信报告需通过授权委托方式由公积金管理中心代为查询）。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（二）职工家庭购买首套自住住房，使用住房公积金组合贷款，且贷款未结清的，提供借款合同、抵押合同、还款储蓄存折或卡、人行征信报告（人行征信报告需通过授权委托方式由公积金管理中心代为查询）; 职工家庭购买首套自住住房,使用异地住房公积金组合贷款的,还需提供贷款地公积金管理中心出具的《贷款情况证明》。（三）职工家庭购买首套自住住房，使用异地住房公积金贷款的，提供借款合同、抵押合同、贷款地公积金管理中心出具的《贷款情况证明》和还款储蓄存折或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各地住房公积金管理中心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各地住房公积金管理中心网络核验、调查核实、部门信息共享后即取消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r>
        <w:tblPrEx>
          <w:tblCellMar>
            <w:top w:w="15" w:type="dxa"/>
            <w:left w:w="108" w:type="dxa"/>
            <w:bottom w:w="15" w:type="dxa"/>
            <w:right w:w="108" w:type="dxa"/>
          </w:tblCellMar>
        </w:tblPrEx>
        <w:trPr>
          <w:trHeight w:val="1456"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建设工程竣工验收规划条件核实证明</w:t>
            </w:r>
          </w:p>
        </w:tc>
        <w:tc>
          <w:tcPr>
            <w:tcW w:w="30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建造、翻修、大修具有产权自住住房提取住房公积金</w:t>
            </w:r>
          </w:p>
        </w:tc>
        <w:tc>
          <w:tcPr>
            <w:tcW w:w="102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二十三条  在本市无自有住房，且租赁住房用于自住的，按以下情形提供提取业务证明材料原件及复印件：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 承租本市商品住房的，在本市无房产的证明信息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需通过授权委托方式由公积金管理中心代为查询。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 承租本市公共租赁住房的，提供公共租赁住房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租赁合同、租金缴纳证明原件及复印件；有承租公租房资格，没有实物配租的，提供有效的公租房资格证。公租房的租赁证明信息需通过授权委托方式由公积金管理中心代为查询。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（三）通过本市住房租赁平台租赁住房的，在本市住房租赁平台上的租房信息需通过授权委托方式由公积金管理中心代为查询。</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武汉市住房保障和房屋管理局、武汉市规划局</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武汉市住房保障和房屋管理局、武汉市规划局信息共享后即取消</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r>
        <w:tblPrEx>
          <w:tblCellMar>
            <w:top w:w="15" w:type="dxa"/>
            <w:left w:w="108" w:type="dxa"/>
            <w:bottom w:w="15" w:type="dxa"/>
            <w:right w:w="108" w:type="dxa"/>
          </w:tblCellMar>
        </w:tblPrEx>
        <w:trPr>
          <w:trHeight w:val="1396"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翻建本市自住住房的提供旧房翻建许可证明材料</w:t>
            </w:r>
          </w:p>
        </w:tc>
        <w:tc>
          <w:tcPr>
            <w:tcW w:w="30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2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08" w:type="dxa"/>
            <w:bottom w:w="15" w:type="dxa"/>
            <w:right w:w="108" w:type="dxa"/>
          </w:tblCellMar>
        </w:tblPrEx>
        <w:trPr>
          <w:trHeight w:val="240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房屋安全鉴定书</w:t>
            </w:r>
          </w:p>
        </w:tc>
        <w:tc>
          <w:tcPr>
            <w:tcW w:w="30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2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08" w:type="dxa"/>
            <w:bottom w:w="15" w:type="dxa"/>
            <w:right w:w="108" w:type="dxa"/>
          </w:tblCellMar>
        </w:tblPrEx>
        <w:trPr>
          <w:trHeight w:val="243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租金缴纳证明</w:t>
            </w:r>
          </w:p>
        </w:tc>
        <w:tc>
          <w:tcPr>
            <w:tcW w:w="30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租赁住房提取住房公积金</w:t>
            </w:r>
          </w:p>
        </w:tc>
        <w:tc>
          <w:tcPr>
            <w:tcW w:w="102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二十三条  在本市无自有住房，且租赁住房用于自住的，按以下情形提供提取业务证明材料原件及复印件：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 承租本市商品住房的，在本市无房产的证明信息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需通过授权委托方式由公积金管理中心代为查询。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 承租本市公共租赁住房的，提供公共租赁住房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租赁合同、租金缴纳证明原件及复印件；有承租公租房资格，没有实物配租的，提供有效的公租房资格证。公租房的租赁证明信息需通过授权委托方式由公积金管理中心代为查询。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（三）通过本市住房租赁平台租赁住房的，在本市住房租赁平台上的租房信息需通过授权委托方式由公积金管理中心代为查询。</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武汉市住房保障和房屋管理局</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武汉市住房保障和房屋管理局信息共享后即取消</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r>
        <w:tblPrEx>
          <w:tblCellMar>
            <w:top w:w="15" w:type="dxa"/>
            <w:left w:w="108" w:type="dxa"/>
            <w:bottom w:w="15" w:type="dxa"/>
            <w:right w:w="108" w:type="dxa"/>
          </w:tblCellMar>
        </w:tblPrEx>
        <w:trPr>
          <w:trHeight w:val="222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公租房资格证明</w:t>
            </w:r>
          </w:p>
        </w:tc>
        <w:tc>
          <w:tcPr>
            <w:tcW w:w="30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2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08" w:type="dxa"/>
            <w:bottom w:w="15" w:type="dxa"/>
            <w:right w:w="108" w:type="dxa"/>
          </w:tblCellMar>
        </w:tblPrEx>
        <w:trPr>
          <w:trHeight w:val="348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未达到国家规定的法定退休年龄的提供劳动、人事部门颁发本人的《离休证》或《退休证》或提供由所在单位劳动人事部门出具的离休、退休证明</w:t>
            </w: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离、退休销户提取住房公积金</w:t>
            </w:r>
          </w:p>
        </w:tc>
        <w:tc>
          <w:tcPr>
            <w:tcW w:w="102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二十五条  职工离休、退休未达到国家规定的法定退休年龄，即男职工未满60周岁、女职工未满55周岁的，提供劳动、人事部门颁发本人的《离休证》或《退休证》，或提供由所在单位劳动人事部门出具的离休、退休证明的提取业务证明材料原件及复印件；达到国家规定的法定退休年龄的离休、退休职工，无需提供提取业务证明材料。</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武汉市人力资源和社会保障局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人力资源和社会保障局信息共享后即取消</w:t>
            </w:r>
          </w:p>
        </w:tc>
        <w:tc>
          <w:tcPr>
            <w:tcW w:w="1155"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r>
        <w:tblPrEx>
          <w:tblCellMar>
            <w:top w:w="15" w:type="dxa"/>
            <w:left w:w="108" w:type="dxa"/>
            <w:bottom w:w="15" w:type="dxa"/>
            <w:right w:w="108" w:type="dxa"/>
          </w:tblCellMar>
        </w:tblPrEx>
        <w:trPr>
          <w:trHeight w:val="3676"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户口注销证明或移民签证（需经公证部门公证的翻译件）</w:t>
            </w: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职工出境定居的提取住房公积金</w:t>
            </w:r>
          </w:p>
        </w:tc>
        <w:tc>
          <w:tcPr>
            <w:tcW w:w="102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二十五条  职工离休、退休未达到国家规定的法定退休年龄，即男职工未满60周岁、女职工未满55周岁的，提供劳动、人事部门颁发本人的《离休证》或《退休证》，或提供由所在单位劳动人事部门出具的离休、退休证明的提取业务证明材料原件及复印件；达到国家规定的法定退休年龄的离休、退休职工，无需提供提取业务证明材料。</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中华人民共和国公安部、出入境管理处</w:t>
            </w:r>
            <w:r>
              <w:rPr>
                <w:rFonts w:hint="eastAsia" w:ascii="宋体" w:hAnsi="宋体" w:cs="宋体"/>
                <w:color w:val="000000"/>
                <w:kern w:val="0"/>
                <w:sz w:val="20"/>
                <w:szCs w:val="20"/>
              </w:rPr>
              <w:br w:type="textWrapping"/>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公安部门、出入境管理部门信息联网后即取消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r>
        <w:tblPrEx>
          <w:tblCellMar>
            <w:top w:w="15" w:type="dxa"/>
            <w:left w:w="108" w:type="dxa"/>
            <w:bottom w:w="15" w:type="dxa"/>
            <w:right w:w="108" w:type="dxa"/>
          </w:tblCellMar>
        </w:tblPrEx>
        <w:trPr>
          <w:trHeight w:val="189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职工死亡或被宣告死亡的法律文件</w:t>
            </w:r>
          </w:p>
        </w:tc>
        <w:tc>
          <w:tcPr>
            <w:tcW w:w="30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职工死亡或者被宣告死亡的提取住房公积金</w:t>
            </w:r>
          </w:p>
        </w:tc>
        <w:tc>
          <w:tcPr>
            <w:tcW w:w="102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二十七条  职工死亡或被宣告死亡的，由其合法继承人或受遗赠人提供缴存人死亡或被宣告死亡证明、继承人或受遗赠人身份证、结婚证、户口簿、公证机关出具的《继承权公证书》或人民法院裁定书原件及复印件。继承人或者受遗赠人为无民事行为能力或者限制民事行为能力人，由其监护人申请提取的，监护人应当提供监护证明及监护人身份证明。</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公安部门</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公安部门信息联网后即取消</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r>
        <w:tblPrEx>
          <w:tblCellMar>
            <w:top w:w="15" w:type="dxa"/>
            <w:left w:w="108" w:type="dxa"/>
            <w:bottom w:w="15" w:type="dxa"/>
            <w:right w:w="108" w:type="dxa"/>
          </w:tblCellMar>
        </w:tblPrEx>
        <w:trPr>
          <w:trHeight w:val="192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继承人或受遗赠人需提供《继承权公证书》或人民法院裁定书</w:t>
            </w:r>
          </w:p>
        </w:tc>
        <w:tc>
          <w:tcPr>
            <w:tcW w:w="30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2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08" w:type="dxa"/>
            <w:bottom w:w="15" w:type="dxa"/>
            <w:right w:w="108" w:type="dxa"/>
          </w:tblCellMar>
        </w:tblPrEx>
        <w:trPr>
          <w:trHeight w:val="3556"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劳动能力鉴定证明</w:t>
            </w: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完全丧失劳动能力且与所在单位终止劳动关系的提取住房公积金</w:t>
            </w:r>
          </w:p>
        </w:tc>
        <w:tc>
          <w:tcPr>
            <w:tcW w:w="102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二十八条  职工完全丧失劳动能力的，提供劳动能力鉴定证明、与单位终止劳动关系证明的提取业务证明材料原件及复印件。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240"/>
              <w:jc w:val="center"/>
              <w:rPr>
                <w:rFonts w:ascii="宋体" w:hAnsi="宋体" w:cs="宋体"/>
                <w:color w:val="000000"/>
                <w:kern w:val="0"/>
                <w:sz w:val="20"/>
                <w:szCs w:val="20"/>
              </w:rPr>
            </w:pPr>
            <w:r>
              <w:rPr>
                <w:rFonts w:hint="eastAsia" w:ascii="宋体" w:hAnsi="宋体" w:cs="宋体"/>
                <w:color w:val="000000"/>
                <w:kern w:val="0"/>
                <w:sz w:val="20"/>
                <w:szCs w:val="20"/>
              </w:rPr>
              <w:t>各地区人力资源和社会保障局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各地区人力资源和社会保障局信息联网后即取消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r>
        <w:tblPrEx>
          <w:tblCellMar>
            <w:top w:w="15" w:type="dxa"/>
            <w:left w:w="108" w:type="dxa"/>
            <w:bottom w:w="15" w:type="dxa"/>
            <w:right w:w="108" w:type="dxa"/>
          </w:tblCellMar>
        </w:tblPrEx>
        <w:trPr>
          <w:trHeight w:val="207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市级以上医院证明</w:t>
            </w:r>
          </w:p>
        </w:tc>
        <w:tc>
          <w:tcPr>
            <w:tcW w:w="30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缴存职工、配偶、子女及缴存职工父母、配偶父母因重大疾病造成家庭生活特别困难的提取住房公积金</w:t>
            </w:r>
          </w:p>
        </w:tc>
        <w:tc>
          <w:tcPr>
            <w:tcW w:w="102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三十六条  缴存职工、配偶、子女及缴存职工父母、配偶父母因重大疾病造成家庭生活特别困难的， 提供市级以上医院诊断证明、经医保部门年审的重症病历、住院专用票据或发票、单位出具的家庭生活特别困难的证明、户口簿的提取业务证明材料原件及复印件。职工与配偶、子女、职工父母及配偶父母不在同一户口簿登记的，其关系的认定由户口所在地公安部门出具证明或公证部门出具《亲属关系公证书》。</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医院、职工所在单位</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医院、职工所在单位联网后即取消</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r>
        <w:tblPrEx>
          <w:tblCellMar>
            <w:top w:w="15" w:type="dxa"/>
            <w:left w:w="108" w:type="dxa"/>
            <w:bottom w:w="15" w:type="dxa"/>
            <w:right w:w="108" w:type="dxa"/>
          </w:tblCellMar>
        </w:tblPrEx>
        <w:trPr>
          <w:trHeight w:val="225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单位出具的家庭生活严重困难证明</w:t>
            </w:r>
          </w:p>
        </w:tc>
        <w:tc>
          <w:tcPr>
            <w:tcW w:w="30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2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08" w:type="dxa"/>
            <w:bottom w:w="15" w:type="dxa"/>
            <w:right w:w="108" w:type="dxa"/>
          </w:tblCellMar>
        </w:tblPrEx>
        <w:trPr>
          <w:trHeight w:val="5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所在地街道办事处或消防部门出具的事故证明</w:t>
            </w: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职工家庭遭遇火灾、地震，造成家庭生活特别困难的提取住房公积金</w:t>
            </w:r>
          </w:p>
        </w:tc>
        <w:tc>
          <w:tcPr>
            <w:tcW w:w="102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《武汉住房公积金提取管理办法》（武公中规[2018]5号）、《武汉住房公积金提取管理实施细则》（武公中规[2018]7号）第四章  提取证明材料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第十七条  职工提取住房公积金，应提供《住房公积金提取凭证》、身份证明材料和业务证明材料。通过转账方式提取住房公积金的，职工应当提供本人在银行开立的实名制借记卡。职工应对申请材料的真实性、合法性、有效性负责，不得隐瞒真实情况或者提供虚假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  职工申请提取住房公积金时，应按以下要求提供身份证明材料原件：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（一）职工本人提取住房公积金的，提供身份证；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（二）已婚职工提取住房公积金的，提供本人及配偶的身份证、结婚证（或能证明夫妻关系的户口簿）；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委托办理的，受托人是委托人配偶或者父母、子女的，提供委托人和受托人身份证、户口簿或结婚证或公安机关出具的户籍证明等可以证明委托人和受托人的关系材料原件及复印件；受托人非委托人配偶、父母、子女的，提供委托人和受托人身份证以及经公证机关公证的委托书。第三十七条  职工家庭因本市自有产权住房遭遇火灾、地震，造成家庭生活特别困难的，提供事故房屋所在地街道办事处或消防部门出具的事故证明、《不动产权证书》的提取业务证明材料原件及复印件。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武汉住房公积金管理中心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职工住所地街道办事处或消防部门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街道办事处、消防部门信息联网后即取消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取消</w:t>
            </w:r>
          </w:p>
        </w:tc>
      </w:tr>
    </w:tbl>
    <w:p>
      <w:bookmarkStart w:id="0" w:name="_GoBack"/>
      <w:bookmarkEnd w:id="0"/>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85A3F"/>
    <w:rsid w:val="1228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2020-09-29T08:04:00Z</dcterms:created>
  <dc:creator>怪我喏！~</dc:creator>
  <cp:lastModifiedBy>怪我喏！~</cp:lastModifiedBy>
  <dcterms:modified xsi:type="dcterms:W3CDTF">2020-09-29T08:05:28Z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