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7937" w:type="dxa"/>
        <w:jc w:val="center"/>
        <w:tblLayout w:type="fixed"/>
        <w:tblCellMar>
          <w:top w:w="15" w:type="dxa"/>
          <w:left w:w="108" w:type="dxa"/>
          <w:bottom w:w="15" w:type="dxa"/>
          <w:right w:w="108" w:type="dxa"/>
        </w:tblCellMar>
      </w:tblPr>
      <w:tblGrid>
        <w:gridCol w:w="541"/>
        <w:gridCol w:w="5664"/>
        <w:gridCol w:w="1732"/>
      </w:tblGrid>
      <w:tr>
        <w:tblPrEx>
          <w:tblCellMar>
            <w:top w:w="15" w:type="dxa"/>
            <w:left w:w="108" w:type="dxa"/>
            <w:bottom w:w="15" w:type="dxa"/>
            <w:right w:w="108" w:type="dxa"/>
          </w:tblCellMar>
        </w:tblPrEx>
        <w:trPr>
          <w:trHeight w:val="420" w:hRule="atLeast"/>
          <w:jc w:val="center"/>
        </w:trPr>
        <w:tc>
          <w:tcPr>
            <w:tcW w:w="7937" w:type="dxa"/>
            <w:gridSpan w:val="3"/>
            <w:vAlign w:val="center"/>
          </w:tcPr>
          <w:p>
            <w:pPr>
              <w:widowControl/>
              <w:jc w:val="center"/>
              <w:rPr>
                <w:rFonts w:ascii="仿宋_GB2312" w:hAnsi="仿宋_GB2312" w:cs="宋体"/>
                <w:b/>
                <w:bCs/>
                <w:color w:val="000000"/>
                <w:kern w:val="0"/>
                <w:sz w:val="28"/>
                <w:szCs w:val="28"/>
              </w:rPr>
            </w:pPr>
            <w:bookmarkStart w:id="0" w:name="_GoBack"/>
            <w:r>
              <w:rPr>
                <w:rFonts w:ascii="仿宋_GB2312" w:hAnsi="仿宋_GB2312" w:cs="宋体"/>
                <w:b/>
                <w:bCs/>
                <w:color w:val="000000"/>
                <w:kern w:val="0"/>
                <w:sz w:val="28"/>
                <w:szCs w:val="28"/>
              </w:rPr>
              <w:t>保留失效废止的规范性文件目录</w:t>
            </w:r>
            <w:bookmarkEnd w:id="0"/>
          </w:p>
        </w:tc>
      </w:tr>
      <w:tr>
        <w:tblPrEx>
          <w:tblCellMar>
            <w:top w:w="15" w:type="dxa"/>
            <w:left w:w="108" w:type="dxa"/>
            <w:bottom w:w="15" w:type="dxa"/>
            <w:right w:w="108" w:type="dxa"/>
          </w:tblCellMar>
        </w:tblPrEx>
        <w:trPr>
          <w:trHeight w:val="286" w:hRule="atLeast"/>
          <w:jc w:val="center"/>
        </w:trPr>
        <w:tc>
          <w:tcPr>
            <w:tcW w:w="7937" w:type="dxa"/>
            <w:gridSpan w:val="3"/>
            <w:vAlign w:val="center"/>
          </w:tcPr>
          <w:p>
            <w:pPr>
              <w:widowControl/>
              <w:jc w:val="left"/>
              <w:rPr>
                <w:rFonts w:ascii="黑体" w:hAnsi="黑体" w:eastAsia="黑体" w:cs="宋体"/>
                <w:color w:val="000000"/>
                <w:kern w:val="0"/>
                <w:sz w:val="20"/>
                <w:szCs w:val="20"/>
              </w:rPr>
            </w:pPr>
            <w:r>
              <w:rPr>
                <w:rFonts w:hint="eastAsia" w:ascii="黑体" w:hAnsi="黑体" w:eastAsia="黑体" w:cs="宋体"/>
                <w:color w:val="000000"/>
                <w:kern w:val="0"/>
                <w:sz w:val="20"/>
                <w:szCs w:val="20"/>
              </w:rPr>
              <w:t>一、保留的规范性文件（55件）</w:t>
            </w:r>
          </w:p>
        </w:tc>
      </w:tr>
      <w:tr>
        <w:tblPrEx>
          <w:tblCellMar>
            <w:top w:w="15" w:type="dxa"/>
            <w:left w:w="108" w:type="dxa"/>
            <w:bottom w:w="15" w:type="dxa"/>
            <w:right w:w="108" w:type="dxa"/>
          </w:tblCellMar>
        </w:tblPrEx>
        <w:trPr>
          <w:trHeight w:val="286" w:hRule="atLeast"/>
          <w:jc w:val="center"/>
        </w:trPr>
        <w:tc>
          <w:tcPr>
            <w:tcW w:w="7937" w:type="dxa"/>
            <w:gridSpan w:val="3"/>
            <w:vAlign w:val="center"/>
          </w:tcPr>
          <w:p>
            <w:pPr>
              <w:widowControl/>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（一）继续有效的规范性文件（28件，有效期为5年）</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序号</w:t>
            </w:r>
          </w:p>
        </w:tc>
        <w:tc>
          <w:tcPr>
            <w:tcW w:w="5664" w:type="dxa"/>
            <w:tcBorders>
              <w:top w:val="single" w:color="000000" w:sz="4" w:space="0"/>
              <w:left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文件名</w:t>
            </w:r>
          </w:p>
        </w:tc>
        <w:tc>
          <w:tcPr>
            <w:tcW w:w="1732" w:type="dxa"/>
            <w:tcBorders>
              <w:top w:val="single" w:color="000000" w:sz="4" w:space="0"/>
              <w:left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文号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关于印发武汉住房公积金财务凭证管理暂行办法的通知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武公中发[2008]17号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关于印发武汉住房公积金联名卡管理办法的通知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武公中发[2009]7号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3</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关于印发武汉住房公积金缴存提取转移封存财务规定的通知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武公中发[2010]19号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4</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关于做好住房公积金账务查询服务工作的通知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武公中发[2011]41号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5</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关于做好网上业务承办工作的通知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武公中发[2011]43号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6</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关于开通住房公积金网上业务的通知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武公中发[2011]44号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7</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关于进一步完善公积金信息系统贷款柜员操作职责管理的通知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武公中发[2011]46号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8</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关于职工委托他人办理提取住房公积金支付方式的通知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武公中发[2011]57号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9</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关于进一步明确住房公积金网上业务资金清算及有关核算工作的通知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武公中发[2012]14号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10</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关于做好住房公积金短信开通服务相关工作的通知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武公中发[2013]18号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11</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关于住房公积金网上汇补缴业务办理有关事项的通知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武公中发[2013]37号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12</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关于完善网上缴存委托收款结算方式办理流程的通知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武公中发[2014]13号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13</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关于调整职工异地住房公积金转入业务流程及资金结算方式的通知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武公中发[2014]41号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FF0000"/>
                <w:kern w:val="0"/>
                <w:sz w:val="20"/>
                <w:szCs w:val="20"/>
              </w:rPr>
            </w:pPr>
            <w:r>
              <w:rPr>
                <w:rFonts w:ascii="仿宋_GB2312" w:hAnsi="仿宋_GB2312" w:cs="宋体"/>
                <w:color w:val="FF0000"/>
                <w:kern w:val="0"/>
                <w:sz w:val="20"/>
                <w:szCs w:val="20"/>
              </w:rPr>
              <w:t>14</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FF0000"/>
                <w:kern w:val="0"/>
                <w:sz w:val="20"/>
                <w:szCs w:val="20"/>
              </w:rPr>
            </w:pPr>
            <w:r>
              <w:rPr>
                <w:rFonts w:ascii="仿宋_GB2312" w:hAnsi="仿宋_GB2312" w:cs="宋体"/>
                <w:color w:val="FF0000"/>
                <w:kern w:val="0"/>
                <w:sz w:val="20"/>
                <w:szCs w:val="20"/>
              </w:rPr>
              <w:t>关于印发公积金异地贷款实施细则（试行）的通知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FF0000"/>
                <w:kern w:val="0"/>
                <w:sz w:val="20"/>
                <w:szCs w:val="20"/>
              </w:rPr>
            </w:pPr>
            <w:r>
              <w:rPr>
                <w:rFonts w:ascii="仿宋_GB2312" w:hAnsi="仿宋_GB2312" w:cs="宋体"/>
                <w:color w:val="FF0000"/>
                <w:kern w:val="0"/>
                <w:sz w:val="20"/>
                <w:szCs w:val="20"/>
              </w:rPr>
              <w:t>武公中发[2014]49号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15</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关于优化调整住房公积金贷款业务流程的通知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武公中发[2015]20号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16</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关于规范住房公积金缴存管理的通知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武公中发[2015]26号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FF0000"/>
                <w:kern w:val="0"/>
                <w:sz w:val="20"/>
                <w:szCs w:val="20"/>
              </w:rPr>
            </w:pPr>
            <w:r>
              <w:rPr>
                <w:rFonts w:ascii="仿宋_GB2312" w:hAnsi="仿宋_GB2312" w:cs="宋体"/>
                <w:color w:val="FF0000"/>
                <w:kern w:val="0"/>
                <w:sz w:val="20"/>
                <w:szCs w:val="20"/>
              </w:rPr>
              <w:t>17</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FF0000"/>
                <w:kern w:val="0"/>
                <w:sz w:val="20"/>
                <w:szCs w:val="20"/>
              </w:rPr>
            </w:pPr>
            <w:r>
              <w:rPr>
                <w:rFonts w:ascii="仿宋_GB2312" w:hAnsi="仿宋_GB2312" w:cs="宋体"/>
                <w:color w:val="FF0000"/>
                <w:kern w:val="0"/>
                <w:sz w:val="20"/>
                <w:szCs w:val="20"/>
              </w:rPr>
              <w:t>关于完善住房公积金异地贷款业务的通知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FF0000"/>
                <w:kern w:val="0"/>
                <w:sz w:val="20"/>
                <w:szCs w:val="20"/>
              </w:rPr>
            </w:pPr>
            <w:r>
              <w:rPr>
                <w:rFonts w:ascii="仿宋_GB2312" w:hAnsi="仿宋_GB2312" w:cs="宋体"/>
                <w:color w:val="FF0000"/>
                <w:kern w:val="0"/>
                <w:sz w:val="20"/>
                <w:szCs w:val="20"/>
              </w:rPr>
              <w:t>武公中发[2015]34号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18</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关于规范公积金信息管理系统登录流程的通知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武公中发[2015]38号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19</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关于调整部分住房公积金业务考核标准的通知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武公中发[2015]44号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20</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关于在外籍及港、澳、台人员中试行建立住房公积金制度的通知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武公中发[2015]47号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21</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关于印发《武汉住房公积金诚信黑名单管理办法》的通知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武公管[2015]6号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22</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关于优化单位网上业务开通流程的通知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武公中发[2016]19号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23</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关于优化贷款还款服务功能的通知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武公中发[2016]27号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24</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关于加强操作柜员管理的通知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武公中发[2016]30号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25</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关于推出个人住房公积金贷款期限变更业务的通知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武公中发[2016]31号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26</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关于调整优化住房公积金贷款审批流程和放款机制的通知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武公中发[2016]32号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27</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关于调整住房公积金贷款政策的通知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武公管[2016]1号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28</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关于支持军人家庭解决基本住房需求的通知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武公管[2016]4号</w:t>
            </w:r>
          </w:p>
        </w:tc>
      </w:tr>
      <w:tr>
        <w:tblPrEx>
          <w:tblCellMar>
            <w:top w:w="15" w:type="dxa"/>
            <w:left w:w="108" w:type="dxa"/>
            <w:bottom w:w="15" w:type="dxa"/>
            <w:right w:w="108" w:type="dxa"/>
          </w:tblCellMar>
        </w:tblPrEx>
        <w:trPr>
          <w:trHeight w:val="286" w:hRule="atLeast"/>
          <w:jc w:val="center"/>
        </w:trPr>
        <w:tc>
          <w:tcPr>
            <w:tcW w:w="7937" w:type="dxa"/>
            <w:gridSpan w:val="3"/>
            <w:tcBorders>
              <w:top w:val="single" w:color="000000" w:sz="4" w:space="0"/>
            </w:tcBorders>
            <w:vAlign w:val="center"/>
          </w:tcPr>
          <w:p>
            <w:pPr>
              <w:widowControl/>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（二）需要修改或重新印发的规范性文件（27件，有效期为1年）</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序号</w:t>
            </w:r>
          </w:p>
        </w:tc>
        <w:tc>
          <w:tcPr>
            <w:tcW w:w="5664" w:type="dxa"/>
            <w:tcBorders>
              <w:top w:val="single" w:color="000000" w:sz="4" w:space="0"/>
              <w:left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文件名</w:t>
            </w:r>
          </w:p>
        </w:tc>
        <w:tc>
          <w:tcPr>
            <w:tcW w:w="1732" w:type="dxa"/>
            <w:tcBorders>
              <w:top w:val="single" w:color="000000" w:sz="4" w:space="0"/>
              <w:left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文号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关于加强住房公积金贷款贷中核算管理工作的通知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武公中发[2008]21号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关于印发委托扣划住房公积金归还公积金贷款操作细则的通知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武公中发[2009]4号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3</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关于做好住房公积金委托业务资金清算及有关核算工作的通知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武公中发[2009]27号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4</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关于印发武汉房地产一级交易市场个人住房公积金贷款实施细则的通知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武公中发[2010]14号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5</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关于印发武汉房地产二级交易市场个人住房公积金贷款实施细则的通知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武公中发[2010]15号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6</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关于印发武汉个人住房商业贷款转公积金贷款实施细则的通知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武公中发[2010]16号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7</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关于印发武汉住房公积金贷款项目备案管理实施细则的通知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武公中发[2010]17号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8</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关于落实提取“新政”启用升级“提取业务”交易的通知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武公中发[2010]23号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9</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关于开展二手房商业贷款转公积金贷款业务的通知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武公中发[2010]30号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10</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关于印发武汉住房公积金缴存管理暂行规定的通知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武公管[2010]2号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11</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关于印发武汉住房公积金提取管理暂行规定的通知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武公管[2010]3号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12</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关于印发委托扣划住房公积金归还公积金贷款管理办法的通知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武公中发[2011]13号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13</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关于进一步加强住房公积金提取管理的通知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武公中发[2011]21号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14</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关于调整个人住房公积金贷款信用审核标准的通知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武公中发[2012]47号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15</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关于调整住房公积金相关提取政策的通知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武公管[2012]4号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16</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关于加强住房公积金提取管理进一步遏制违规套取公积金的通知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武公中发[2013]9号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17</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关于完善缴存职工个人住房公积金信息查询工作的通知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武公中发[2014]2号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18</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关于调整归集业务受托银行部分权限的通知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武公中发[2014]19号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19</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关于印发受委托银行住房公积金业务考核管理办法的通知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武公中发[2014]22号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20</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关于改进委托扣划还贷授权服务的通知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武公中发[2014]23号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21</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关于调整优化住房公积金提取流程的通知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武公中发[2015]15号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22</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关于调整住房公积金支持普通住房消费相关政策的通知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武公中发[2015]24号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23</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关于调整住房公积金个人住房贷款购房最低首付比例的通知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武公中发[2015]30号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24</w:t>
            </w:r>
          </w:p>
        </w:tc>
        <w:tc>
          <w:tcPr>
            <w:tcW w:w="566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关于启用新版个人住房公积金贷款借款抵押合同的通知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武公中发[2015]35号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25</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关于进一步完善住房公积金提取政策的通知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武公管[2015]3号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26</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关于调整住房公积金提取业务流程的通知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武公中发[2016]18号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27</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关于进一步规范住房公积金提取业务的通知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武公中发[2016]35号</w:t>
            </w:r>
          </w:p>
        </w:tc>
      </w:tr>
      <w:tr>
        <w:tblPrEx>
          <w:tblCellMar>
            <w:top w:w="15" w:type="dxa"/>
            <w:left w:w="108" w:type="dxa"/>
            <w:bottom w:w="15" w:type="dxa"/>
            <w:right w:w="108" w:type="dxa"/>
          </w:tblCellMar>
        </w:tblPrEx>
        <w:trPr>
          <w:trHeight w:val="286" w:hRule="atLeast"/>
          <w:jc w:val="center"/>
        </w:trPr>
        <w:tc>
          <w:tcPr>
            <w:tcW w:w="7937" w:type="dxa"/>
            <w:gridSpan w:val="3"/>
            <w:tcBorders>
              <w:top w:val="single" w:color="000000" w:sz="4" w:space="0"/>
            </w:tcBorders>
            <w:vAlign w:val="center"/>
          </w:tcPr>
          <w:p>
            <w:pPr>
              <w:widowControl/>
              <w:jc w:val="left"/>
              <w:rPr>
                <w:rFonts w:ascii="黑体" w:hAnsi="黑体" w:eastAsia="黑体" w:cs="宋体"/>
                <w:color w:val="000000"/>
                <w:kern w:val="0"/>
                <w:sz w:val="20"/>
                <w:szCs w:val="20"/>
              </w:rPr>
            </w:pPr>
            <w:r>
              <w:rPr>
                <w:rFonts w:hint="eastAsia" w:ascii="黑体" w:hAnsi="黑体" w:eastAsia="黑体" w:cs="宋体"/>
                <w:color w:val="000000"/>
                <w:kern w:val="0"/>
                <w:sz w:val="20"/>
                <w:szCs w:val="20"/>
              </w:rPr>
              <w:t>二、失效的规范性文件（26件）</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序号</w:t>
            </w:r>
          </w:p>
        </w:tc>
        <w:tc>
          <w:tcPr>
            <w:tcW w:w="5664" w:type="dxa"/>
            <w:tcBorders>
              <w:top w:val="single" w:color="000000" w:sz="4" w:space="0"/>
              <w:left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文件名</w:t>
            </w:r>
          </w:p>
        </w:tc>
        <w:tc>
          <w:tcPr>
            <w:tcW w:w="1732" w:type="dxa"/>
            <w:tcBorders>
              <w:top w:val="single" w:color="000000" w:sz="4" w:space="0"/>
              <w:left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文号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关于调整公积金个人住房贷款限额、期限和比例的通知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武公管[2006]3号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关于印发《武汉市公积金个人住房逾期贷款催收管理暂行办法》的通知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武资中发[2004]23号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3</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关于转发省财政厅省建设厅关于住房公积金财务管理补充通知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武资中发[2006]2号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4</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关于印发武汉住房公积金归集财务系统上线并行方案的通知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武资中发［2008］8号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5</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关于职工使用住房公积金贷款购买商品房有关事项的通知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武公中发[2008]10号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6</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关于武汉住房公积金信息管理归集系统切换上线的通知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武资中发[2008]11号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7</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关于武汉住房公积金管理系统数据移交有关事项的通知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武资中发[2008]13号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8</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关于加强承办银行住房公积金归集业务核算工作的通知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武公中发[2008]16号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9</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关于调整个人住房公积金贷款有关事项的通知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武公中发[2008]19号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10</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关于印发住房公积金贷款业务系统上线实施方案的通知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武资中发[2008]20号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11</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关于武汉住房公积金贷款业务数据移交有关事项的通知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武公中发[2008]25号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12</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关于印发住房公积金信息管理系统基础数据采集、维护与清理工作通知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武公中发[2008]37号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13</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关于加强住房公积金贷款抵押权证管理工作的通知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武公中发[2009]17号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14</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关于明确委托扣划住房公积金归还公积金贷款暂行办法执行中有关问题的通知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武公中发[2010]3号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15</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关于明确个人住房公积金贷款信用审核标准的通知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武公中发[2010]18号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16</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关于印发适当放宽困难家庭职工购房贷款额度业务操作规范的通知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武公中发[2010]24号</w:t>
            </w:r>
          </w:p>
        </w:tc>
      </w:tr>
      <w:tr>
        <w:tblPrEx>
          <w:tblCellMar>
            <w:top w:w="15" w:type="dxa"/>
            <w:left w:w="108" w:type="dxa"/>
            <w:bottom w:w="15" w:type="dxa"/>
            <w:right w:w="108" w:type="dxa"/>
          </w:tblCellMar>
        </w:tblPrEx>
        <w:trPr>
          <w:trHeight w:val="480"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17</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关于印发武汉市城镇居民最低生活保障家庭或低收入家庭共同偿还公积金贷款业务操作规范的通知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武公中发[2010]25号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18</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关于调整住房公积金个人贷款政策有关问题的通知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武公中发[2010]49号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FF0000"/>
                <w:kern w:val="0"/>
                <w:sz w:val="20"/>
                <w:szCs w:val="20"/>
              </w:rPr>
            </w:pPr>
            <w:r>
              <w:rPr>
                <w:rFonts w:ascii="仿宋_GB2312" w:hAnsi="仿宋_GB2312" w:cs="宋体"/>
                <w:color w:val="FF0000"/>
                <w:kern w:val="0"/>
                <w:sz w:val="20"/>
                <w:szCs w:val="20"/>
              </w:rPr>
              <w:t>19</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FF0000"/>
                <w:kern w:val="0"/>
                <w:sz w:val="20"/>
                <w:szCs w:val="20"/>
              </w:rPr>
            </w:pPr>
            <w:r>
              <w:rPr>
                <w:rFonts w:ascii="仿宋_GB2312" w:hAnsi="仿宋_GB2312" w:cs="宋体"/>
                <w:color w:val="FF0000"/>
                <w:kern w:val="0"/>
                <w:sz w:val="20"/>
                <w:szCs w:val="20"/>
              </w:rPr>
              <w:t>关于印发武汉个人住房公积金贷款管理办法的通知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FF0000"/>
                <w:kern w:val="0"/>
                <w:sz w:val="20"/>
                <w:szCs w:val="20"/>
              </w:rPr>
            </w:pPr>
            <w:r>
              <w:rPr>
                <w:rFonts w:ascii="仿宋_GB2312" w:hAnsi="仿宋_GB2312" w:cs="宋体"/>
                <w:color w:val="FF0000"/>
                <w:kern w:val="0"/>
                <w:sz w:val="20"/>
                <w:szCs w:val="20"/>
              </w:rPr>
              <w:t>武公管[2010]1号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20</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关于调整住房公积金贷款政策的通知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武公管[2010]6号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21</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关于适当调整单方缴存住房公积金职工贷款限额标准的通知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武公中发[2011]23号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22</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关于规范职工住房公积金异地转入资金结算的通知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武公中发[2011]37号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23</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关于调整二手房住房公积金贷款最高限额的通知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武公管[2012]3号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24</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关于进一步完善个人住房公积金贷款业务规则的通知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武公中发[2013]10号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25</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关于调整个人住房公积金贷款有关业务规则的通知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武公中发[2013]43号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26</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关于取消银行报送50万元以上公积金贷款预审批流程的通知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武公中发[2014]4号</w:t>
            </w:r>
          </w:p>
        </w:tc>
      </w:tr>
      <w:tr>
        <w:tblPrEx>
          <w:tblCellMar>
            <w:top w:w="15" w:type="dxa"/>
            <w:left w:w="108" w:type="dxa"/>
            <w:bottom w:w="15" w:type="dxa"/>
            <w:right w:w="108" w:type="dxa"/>
          </w:tblCellMar>
        </w:tblPrEx>
        <w:trPr>
          <w:trHeight w:val="286" w:hRule="atLeast"/>
          <w:jc w:val="center"/>
        </w:trPr>
        <w:tc>
          <w:tcPr>
            <w:tcW w:w="7937" w:type="dxa"/>
            <w:gridSpan w:val="3"/>
            <w:tcBorders>
              <w:top w:val="single" w:color="000000" w:sz="4" w:space="0"/>
            </w:tcBorders>
            <w:vAlign w:val="center"/>
          </w:tcPr>
          <w:p>
            <w:pPr>
              <w:widowControl/>
              <w:jc w:val="left"/>
              <w:rPr>
                <w:rFonts w:ascii="黑体" w:hAnsi="黑体" w:eastAsia="黑体" w:cs="宋体"/>
                <w:color w:val="000000"/>
                <w:kern w:val="0"/>
                <w:sz w:val="20"/>
                <w:szCs w:val="20"/>
              </w:rPr>
            </w:pPr>
            <w:r>
              <w:rPr>
                <w:rFonts w:hint="eastAsia" w:ascii="黑体" w:hAnsi="黑体" w:eastAsia="黑体" w:cs="宋体"/>
                <w:color w:val="000000"/>
                <w:kern w:val="0"/>
                <w:sz w:val="20"/>
                <w:szCs w:val="20"/>
              </w:rPr>
              <w:t>三、废止的规范性文件（17件）</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序号</w:t>
            </w:r>
          </w:p>
        </w:tc>
        <w:tc>
          <w:tcPr>
            <w:tcW w:w="5664" w:type="dxa"/>
            <w:tcBorders>
              <w:top w:val="single" w:color="000000" w:sz="4" w:space="0"/>
              <w:left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文件名</w:t>
            </w:r>
          </w:p>
        </w:tc>
        <w:tc>
          <w:tcPr>
            <w:tcW w:w="1732" w:type="dxa"/>
            <w:tcBorders>
              <w:top w:val="single" w:color="000000" w:sz="4" w:space="0"/>
              <w:left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文号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关于调整公积金个人住房担保组合贷款方式的通知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武资中发[1999]43号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2</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关于扩大公积金个人住房贷款受理对象的通知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武资中发[2002]32号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3</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关于明确公积金个人住房贷款若干事项的通知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武资中发[2003]25号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4</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关于购买远城区商品房办理公积金个人住房贷款的通知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武资中发[2006]9号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5</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关于公积金个人住房贷款由购房人自愿选择办理保险的通知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武资中发[2007]30号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6</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关于住房公积金贷款管理信息系统上线有关事项的通知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武公中发[2008]22号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7</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关于加强提取住房公积金偿还公积金贷款管理的通知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武公中发[2008]27号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8</w:t>
            </w:r>
          </w:p>
        </w:tc>
        <w:tc>
          <w:tcPr>
            <w:tcW w:w="5664" w:type="dxa"/>
            <w:tcBorders>
              <w:top w:val="single" w:color="000000" w:sz="4" w:space="0"/>
              <w:left w:val="single" w:color="000000" w:sz="4" w:space="0"/>
              <w:bottom w:val="single" w:color="000000" w:sz="4" w:space="0"/>
              <w:right w:val="single" w:color="000000" w:sz="4" w:space="0"/>
            </w:tcBorders>
            <w:vAlign w:val="top"/>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关于转发建设部调整个人住房公积金存贷款利率的通知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武公中发[2008]44号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9</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关于印发委托扣划住房公积金归还公积金贷款暂行办法的通知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武公中发[2009]3号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10</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关于住房公积金事后监督系统凭证整理传递规范要求的通知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武公中发[2010]4号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11</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关于暂停青山区小户型二手房购房提取公积金的通知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武公中发[2010]11号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12</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关于进一步明确铁路系统职工办理住房公积金贷款住房套数认定规则的通知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武公中发[2011]2号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13</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关于印发受委托银行住房公积金归集业务考核管理试行办法的通知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武公中发[2012]10号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14</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关于印发受委托银行住房公积金贷款业务考核管理试行办法的通知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武公中发[2012]11号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15</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关于完善住房公积金政策支持职工解决基本住房需求的通知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武公管[2013]3号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16</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关于调整第二套房公积金贷款首付款比例的通知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武公中发[2014]39号</w:t>
            </w:r>
          </w:p>
        </w:tc>
      </w:tr>
      <w:tr>
        <w:tblPrEx>
          <w:tblCellMar>
            <w:top w:w="15" w:type="dxa"/>
            <w:left w:w="108" w:type="dxa"/>
            <w:bottom w:w="15" w:type="dxa"/>
            <w:right w:w="108" w:type="dxa"/>
          </w:tblCellMar>
        </w:tblPrEx>
        <w:trPr>
          <w:trHeight w:val="286" w:hRule="atLeast"/>
          <w:jc w:val="center"/>
        </w:trPr>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cs="宋体"/>
                <w:color w:val="000000"/>
                <w:kern w:val="0"/>
                <w:sz w:val="20"/>
                <w:szCs w:val="20"/>
              </w:rPr>
            </w:pPr>
            <w:r>
              <w:rPr>
                <w:rFonts w:ascii="仿宋_GB2312" w:hAnsi="仿宋_GB2312" w:cs="宋体"/>
                <w:color w:val="000000"/>
                <w:kern w:val="0"/>
                <w:sz w:val="20"/>
                <w:szCs w:val="20"/>
              </w:rPr>
              <w:t>17</w:t>
            </w:r>
          </w:p>
        </w:tc>
        <w:tc>
          <w:tcPr>
            <w:tcW w:w="566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关于完善住房公积金提取政策支持低收入职工解决基本住房需求的通知</w:t>
            </w:r>
          </w:p>
        </w:tc>
        <w:tc>
          <w:tcPr>
            <w:tcW w:w="17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cs="宋体"/>
                <w:color w:val="000000"/>
                <w:kern w:val="0"/>
                <w:sz w:val="20"/>
                <w:szCs w:val="20"/>
              </w:rPr>
            </w:pPr>
            <w:r>
              <w:rPr>
                <w:rFonts w:ascii="仿宋_GB2312" w:hAnsi="仿宋_GB2312" w:cs="宋体"/>
                <w:color w:val="000000"/>
                <w:kern w:val="0"/>
                <w:sz w:val="20"/>
                <w:szCs w:val="20"/>
              </w:rPr>
              <w:t>武公管[2014]2号</w:t>
            </w:r>
          </w:p>
        </w:tc>
      </w:tr>
    </w:tbl>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C534A"/>
    <w:rsid w:val="3D6B1587"/>
    <w:rsid w:val="55FC534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2018-09-07T09:02:00Z</dcterms:created>
  <dc:creator>怪我喏！~</dc:creator>
  <cp:lastModifiedBy>怪我喏！~</cp:lastModifiedBy>
  <dcterms:modified xsi:type="dcterms:W3CDTF">2020-07-20T02:23:21Z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